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DFB6" w14:textId="77777777" w:rsidR="00DF32E1" w:rsidRDefault="00000000">
      <w:pPr>
        <w:pStyle w:val="Title"/>
      </w:pPr>
      <w:r>
        <w:t>SMEA 536</w:t>
      </w:r>
      <w:r>
        <w:br/>
        <w:t>Applied Microeconomics for Marine Affairs</w:t>
      </w:r>
    </w:p>
    <w:p w14:paraId="43A315EB" w14:textId="1E633546" w:rsidR="00DF32E1" w:rsidRDefault="00000000">
      <w:pPr>
        <w:pStyle w:val="FirstParagraph"/>
      </w:pPr>
      <w:r>
        <w:rPr>
          <w:b/>
          <w:bCs/>
        </w:rPr>
        <w:t>Instructor:</w:t>
      </w:r>
      <w:r>
        <w:t xml:space="preserve"> Prof. Sunny Jardine</w:t>
      </w:r>
      <w:r>
        <w:br/>
      </w:r>
      <w:r>
        <w:rPr>
          <w:b/>
          <w:bCs/>
        </w:rPr>
        <w:t>Email:</w:t>
      </w:r>
      <w:r>
        <w:t xml:space="preserve"> jardine@uw.edu</w:t>
      </w:r>
      <w:r>
        <w:br/>
      </w:r>
      <w:r>
        <w:rPr>
          <w:b/>
          <w:bCs/>
        </w:rPr>
        <w:t>Office:</w:t>
      </w:r>
      <w:r>
        <w:t xml:space="preserve"> MAR 229</w:t>
      </w:r>
      <w:r>
        <w:br/>
      </w:r>
    </w:p>
    <w:p w14:paraId="628CB92D" w14:textId="77777777" w:rsidR="00DF32E1" w:rsidRDefault="00000000">
      <w:pPr>
        <w:pStyle w:val="BodyText"/>
      </w:pPr>
      <w:r>
        <w:rPr>
          <w:b/>
          <w:bCs/>
        </w:rPr>
        <w:t>Location:</w:t>
      </w:r>
      <w:r>
        <w:t xml:space="preserve"> CHD 105</w:t>
      </w:r>
      <w:r>
        <w:br/>
      </w:r>
      <w:r>
        <w:rPr>
          <w:b/>
          <w:bCs/>
        </w:rPr>
        <w:t>Time:</w:t>
      </w:r>
      <w:r>
        <w:t xml:space="preserve"> 2:30-3:50 PM</w:t>
      </w:r>
      <w:r>
        <w:br/>
      </w:r>
      <w:r>
        <w:rPr>
          <w:b/>
          <w:bCs/>
        </w:rPr>
        <w:t>Office Hours:</w:t>
      </w:r>
      <w:r>
        <w:t xml:space="preserve"> TBD</w:t>
      </w:r>
      <w:r>
        <w:br/>
      </w:r>
    </w:p>
    <w:p w14:paraId="5B7A0562" w14:textId="77777777" w:rsidR="00786583" w:rsidRDefault="00000000">
      <w:pPr>
        <w:pStyle w:val="BodyText"/>
      </w:pPr>
      <w:r>
        <w:rPr>
          <w:b/>
          <w:bCs/>
        </w:rPr>
        <w:t>Course Overview:</w:t>
      </w:r>
      <w:r>
        <w:br/>
        <w:t>This course provides a survey of environmental economics including how economists define environmental issues, how economists evaluate market-based and alternative solutions to environmental problems, and how economists analyze the tradeoffs inherent in improving environmental quality. The course is organized in 5 sections: (1) Fundamentals of Economic Markets, (2) Externalities and their Solutions, (3) Public Goods Problems and their Solutions, (4) Non-market Valuation, and (5) Tools for Evaluation. </w:t>
      </w:r>
    </w:p>
    <w:p w14:paraId="3226825B" w14:textId="77777777" w:rsidR="00786583" w:rsidRDefault="00000000">
      <w:pPr>
        <w:pStyle w:val="BodyText"/>
      </w:pPr>
      <w:r>
        <w:br/>
      </w:r>
      <w:r>
        <w:rPr>
          <w:b/>
          <w:bCs/>
        </w:rPr>
        <w:t>Course Objective:</w:t>
      </w:r>
      <w:r>
        <w:br/>
        <w:t>The objective of this course is to stimulate critical thinking about contemporary environmental challenges and policies designed to overcome them.</w:t>
      </w:r>
    </w:p>
    <w:p w14:paraId="2D5873A5" w14:textId="77777777" w:rsidR="00786583" w:rsidRDefault="00000000">
      <w:pPr>
        <w:pStyle w:val="BodyText"/>
      </w:pPr>
      <w:r>
        <w:br/>
      </w:r>
      <w:r>
        <w:rPr>
          <w:b/>
          <w:bCs/>
        </w:rPr>
        <w:t>Course Structure:</w:t>
      </w:r>
      <w:r>
        <w:br/>
        <w:t xml:space="preserve">At the beginning of each class you will take a short ungraded quiz. The purpose of the quiz is to focus and reflect on the material we have learned during a previous lecture. Next, we’ll discuss any topics on economics in the news. Finally, there will </w:t>
      </w:r>
      <w:proofErr w:type="gramStart"/>
      <w:r>
        <w:t>be  50</w:t>
      </w:r>
      <w:proofErr w:type="gramEnd"/>
      <w:r>
        <w:t xml:space="preserve"> minutes lecture.</w:t>
      </w:r>
    </w:p>
    <w:p w14:paraId="3BF76AA1" w14:textId="77777777" w:rsidR="00786583" w:rsidRDefault="00000000">
      <w:pPr>
        <w:pStyle w:val="BodyText"/>
        <w:rPr>
          <w:b/>
          <w:bCs/>
        </w:rPr>
      </w:pPr>
      <w:r>
        <w:br/>
      </w:r>
      <w:r>
        <w:rPr>
          <w:b/>
          <w:bCs/>
        </w:rPr>
        <w:t>Readings:</w:t>
      </w:r>
    </w:p>
    <w:p w14:paraId="45F818EA" w14:textId="77777777" w:rsidR="00786583" w:rsidRDefault="00000000">
      <w:pPr>
        <w:pStyle w:val="BodyText"/>
      </w:pPr>
      <w:r>
        <w:br/>
        <w:t>Lectures draw heavily from the following text:</w:t>
      </w:r>
    </w:p>
    <w:p w14:paraId="1CAE4FA8" w14:textId="77777777" w:rsidR="00786583" w:rsidRDefault="00000000">
      <w:pPr>
        <w:pStyle w:val="BodyText"/>
      </w:pPr>
      <w:r>
        <w:br/>
        <w:t xml:space="preserve">B. C. Field and M. K. Field. Environmental Economics: an Introduction. </w:t>
      </w:r>
      <w:proofErr w:type="gramStart"/>
      <w:r>
        <w:t>Boston :</w:t>
      </w:r>
      <w:proofErr w:type="gramEnd"/>
      <w:r>
        <w:t xml:space="preserve"> McGraw-Hill Irwin, 7</w:t>
      </w:r>
      <m:oMath>
        <m:sSup>
          <m:sSupPr>
            <m:ctrlPr>
              <w:rPr>
                <w:rFonts w:ascii="Cambria Math" w:hAnsi="Cambria Math"/>
              </w:rPr>
            </m:ctrlPr>
          </m:sSupPr>
          <m:e>
            <m:r>
              <w:rPr>
                <w:rFonts w:ascii="Cambria Math" w:hAnsi="Cambria Math"/>
              </w:rPr>
              <m:t>​</m:t>
            </m:r>
          </m:e>
          <m:sup>
            <m:r>
              <w:rPr>
                <w:rFonts w:ascii="Cambria Math" w:hAnsi="Cambria Math"/>
              </w:rPr>
              <m:t>th</m:t>
            </m:r>
          </m:sup>
        </m:sSup>
      </m:oMath>
      <w:r>
        <w:t xml:space="preserve"> edition, 2017.</w:t>
      </w:r>
    </w:p>
    <w:p w14:paraId="415C8557" w14:textId="77777777" w:rsidR="00786583" w:rsidRDefault="00000000">
      <w:pPr>
        <w:pStyle w:val="BodyText"/>
      </w:pPr>
      <w:r>
        <w:lastRenderedPageBreak/>
        <w:br/>
        <w:t>To a lesser extent, lectures also make use of:</w:t>
      </w:r>
      <w:r>
        <w:br/>
      </w:r>
    </w:p>
    <w:p w14:paraId="27DE7623" w14:textId="77777777" w:rsidR="00786583" w:rsidRDefault="00000000">
      <w:pPr>
        <w:pStyle w:val="BodyText"/>
      </w:pPr>
      <w:r>
        <w:t>N.G. Mankiw. Principals of Microeconomics. South-Western CENTAGE Learning, 6</w:t>
      </w:r>
      <m:oMath>
        <m:sSup>
          <m:sSupPr>
            <m:ctrlPr>
              <w:rPr>
                <w:rFonts w:ascii="Cambria Math" w:hAnsi="Cambria Math"/>
              </w:rPr>
            </m:ctrlPr>
          </m:sSupPr>
          <m:e>
            <m:r>
              <w:rPr>
                <w:rFonts w:ascii="Cambria Math" w:hAnsi="Cambria Math"/>
              </w:rPr>
              <m:t>​</m:t>
            </m:r>
          </m:e>
          <m:sup>
            <m:r>
              <w:rPr>
                <w:rFonts w:ascii="Cambria Math" w:hAnsi="Cambria Math"/>
              </w:rPr>
              <m:t>th</m:t>
            </m:r>
          </m:sup>
        </m:sSup>
      </m:oMath>
      <w:r>
        <w:t xml:space="preserve"> edition, 2010.</w:t>
      </w:r>
      <w:r>
        <w:br/>
      </w:r>
    </w:p>
    <w:p w14:paraId="78A69162" w14:textId="77777777" w:rsidR="00786583" w:rsidRDefault="00000000">
      <w:pPr>
        <w:pStyle w:val="BodyText"/>
        <w:rPr>
          <w:b/>
          <w:bCs/>
        </w:rPr>
      </w:pPr>
      <w:r>
        <w:t>Hereafter I will refer to the two texts as F&amp;F and Mankiw respectively. You are not required to read these texts, but you may find them a useful complement to your class notes.</w:t>
      </w:r>
      <w:r>
        <w:br/>
        <w:t xml:space="preserve">Additionally, lecture concepts will be supplemented with </w:t>
      </w:r>
      <w:r>
        <w:rPr>
          <w:i/>
          <w:iCs/>
        </w:rPr>
        <w:t>required</w:t>
      </w:r>
      <w:r>
        <w:t xml:space="preserve"> readings from journal articles, news articles, and websites (made available through our course website). Note that readings are assigned to each section of the course rather than to each day of the course, so it is your responsibility to pace yourself.</w:t>
      </w:r>
      <w:r>
        <w:br/>
      </w:r>
    </w:p>
    <w:p w14:paraId="7393165F" w14:textId="77777777" w:rsidR="00786583" w:rsidRDefault="00000000">
      <w:pPr>
        <w:pStyle w:val="BodyText"/>
        <w:rPr>
          <w:b/>
          <w:bCs/>
        </w:rPr>
      </w:pPr>
      <w:r>
        <w:rPr>
          <w:b/>
          <w:bCs/>
        </w:rPr>
        <w:t>Notes:</w:t>
      </w:r>
      <w:r>
        <w:br/>
        <w:t>Most of the course content will be delivered via a lecture coupled with notes on the whiteboard. You are responsible for taking notes. I believe that taking your own notes benefits you as: (1) good note taking is a life skill; and (2) taking careful notes is a form of active listening that will enhance your learning in the class. Note that if you are absent, you will be responsible for obtaining notes from a classmate. My notes will not be made available to you as they will not be an accurate reflection of what is covered in class.</w:t>
      </w:r>
      <w:r>
        <w:br/>
      </w:r>
    </w:p>
    <w:p w14:paraId="3EC36F3F" w14:textId="02242EE8" w:rsidR="00786583" w:rsidRDefault="00000000">
      <w:pPr>
        <w:pStyle w:val="BodyText"/>
        <w:rPr>
          <w:b/>
          <w:bCs/>
        </w:rPr>
      </w:pPr>
      <w:r>
        <w:rPr>
          <w:b/>
          <w:bCs/>
        </w:rPr>
        <w:t>Quizzes:</w:t>
      </w:r>
      <w:r>
        <w:br/>
        <w:t xml:space="preserve">I will give </w:t>
      </w:r>
      <w:proofErr w:type="gramStart"/>
      <w:r>
        <w:t xml:space="preserve">short </w:t>
      </w:r>
      <w:r w:rsidR="00786583">
        <w:t>graded</w:t>
      </w:r>
      <w:proofErr w:type="gramEnd"/>
      <w:r w:rsidR="00786583">
        <w:t xml:space="preserve"> </w:t>
      </w:r>
      <w:r>
        <w:t>quizzes at the beginning of each course to assess your understanding of the material from the previous lecture.</w:t>
      </w:r>
      <w:r w:rsidR="00786583">
        <w:t xml:space="preserve"> The quizzes are worth 10% of your grade, but I drop the lowest 5 quizzes.</w:t>
      </w:r>
      <w:r>
        <w:t xml:space="preserve"> I am open to creating a “think-pair-share” activity from the quizzes.</w:t>
      </w:r>
      <w:r>
        <w:br/>
      </w:r>
    </w:p>
    <w:p w14:paraId="4BA8E743" w14:textId="6CCE3B3C" w:rsidR="00DF32E1" w:rsidRDefault="00000000">
      <w:pPr>
        <w:pStyle w:val="BodyText"/>
      </w:pPr>
      <w:r>
        <w:rPr>
          <w:b/>
          <w:bCs/>
        </w:rPr>
        <w:t>Grading:</w:t>
      </w:r>
    </w:p>
    <w:p w14:paraId="655E2C92" w14:textId="2F29D5AD" w:rsidR="00786583" w:rsidRDefault="00000000">
      <w:pPr>
        <w:pStyle w:val="BodyText"/>
        <w:rPr>
          <w:b/>
          <w:bCs/>
        </w:rPr>
      </w:pPr>
      <w:r>
        <w:t xml:space="preserve">Final grades will be calculated as follows: </w:t>
      </w:r>
      <w:r w:rsidR="00786583">
        <w:t xml:space="preserve">quizzes (10%), </w:t>
      </w:r>
      <w:r>
        <w:t>problem sets (30%), a midterm exam (</w:t>
      </w:r>
      <w:r w:rsidR="00786583">
        <w:t>20</w:t>
      </w:r>
      <w:r>
        <w:t>%), and a final paper (</w:t>
      </w:r>
      <w:r w:rsidR="00786583">
        <w:t>40</w:t>
      </w:r>
      <w:r>
        <w:t xml:space="preserve">%). Each of these components is described in detail below. At the end of the course, points in the course will be converted into a </w:t>
      </w:r>
      <w:hyperlink r:id="rId5">
        <w:r>
          <w:rPr>
            <w:rStyle w:val="Hyperlink"/>
          </w:rPr>
          <w:t>4-point scale</w:t>
        </w:r>
      </w:hyperlink>
      <w:r>
        <w:t>.</w:t>
      </w:r>
      <w:r>
        <w:br/>
      </w:r>
    </w:p>
    <w:p w14:paraId="14F08C92" w14:textId="77777777" w:rsidR="00786583" w:rsidRDefault="00000000">
      <w:pPr>
        <w:pStyle w:val="BodyText"/>
      </w:pPr>
      <w:r>
        <w:rPr>
          <w:b/>
          <w:bCs/>
        </w:rPr>
        <w:t>Problem Sets (30 points):</w:t>
      </w:r>
      <w:r>
        <w:t xml:space="preserve"> There will be 3 problem sets where you will explore applications of lecture concepts, analyze the course readings and research talks. The problem sets are dynamic in the sense that I will add questions to the problem sets as we go through the material. You will work on the problem sets in assigned groups. However, it is important that </w:t>
      </w:r>
      <w:proofErr w:type="gramStart"/>
      <w:r>
        <w:t>each individual</w:t>
      </w:r>
      <w:proofErr w:type="gramEnd"/>
      <w:r>
        <w:t xml:space="preserve"> understand the answers to the problem sets </w:t>
      </w:r>
      <w:proofErr w:type="gramStart"/>
      <w:r>
        <w:t>a your</w:t>
      </w:r>
      <w:proofErr w:type="gramEnd"/>
      <w:r>
        <w:t xml:space="preserve"> individual understanding of concepts will be tested on the midterm exam and in your term paper </w:t>
      </w:r>
      <w:r>
        <w:lastRenderedPageBreak/>
        <w:t>assignment.</w:t>
      </w:r>
      <w:r>
        <w:br/>
      </w:r>
    </w:p>
    <w:p w14:paraId="15862242" w14:textId="77777777" w:rsidR="00786583" w:rsidRDefault="00000000">
      <w:pPr>
        <w:pStyle w:val="BodyText"/>
        <w:rPr>
          <w:b/>
          <w:bCs/>
        </w:rPr>
      </w:pPr>
      <w:r>
        <w:t>Problem sets are due at 5 PM on their due date. Problem sets must be uploaded through Canvas as a PDF file for full credit.</w:t>
      </w:r>
      <w:r>
        <w:br/>
      </w:r>
    </w:p>
    <w:p w14:paraId="1764499C" w14:textId="0DEB65ED" w:rsidR="00786583" w:rsidRDefault="00000000">
      <w:pPr>
        <w:pStyle w:val="BodyText"/>
        <w:rPr>
          <w:b/>
          <w:bCs/>
        </w:rPr>
      </w:pPr>
      <w:r>
        <w:rPr>
          <w:b/>
          <w:bCs/>
        </w:rPr>
        <w:t>Midterm Exam (</w:t>
      </w:r>
      <w:r w:rsidR="00786583">
        <w:rPr>
          <w:b/>
          <w:bCs/>
        </w:rPr>
        <w:t>20</w:t>
      </w:r>
      <w:r>
        <w:rPr>
          <w:b/>
          <w:bCs/>
        </w:rPr>
        <w:t xml:space="preserve"> points):</w:t>
      </w:r>
      <w:r>
        <w:t xml:space="preserve"> The in-class exam will be used to assess your individual understanding of course concepts. The midterm will be comprised of multiple choice questions, short answer questions, and multi-part questions. The midterm will be held on Thursday, February 16th during the normal class period.</w:t>
      </w:r>
      <w:r>
        <w:br/>
      </w:r>
    </w:p>
    <w:p w14:paraId="32774514" w14:textId="5BF70001" w:rsidR="00786583" w:rsidRDefault="00786583">
      <w:pPr>
        <w:pStyle w:val="BodyText"/>
        <w:rPr>
          <w:b/>
          <w:bCs/>
        </w:rPr>
      </w:pPr>
      <w:r>
        <w:rPr>
          <w:b/>
          <w:bCs/>
        </w:rPr>
        <w:t>Final Exam</w:t>
      </w:r>
      <w:r w:rsidR="00000000">
        <w:rPr>
          <w:b/>
          <w:bCs/>
        </w:rPr>
        <w:t xml:space="preserve"> (</w:t>
      </w:r>
      <w:r>
        <w:rPr>
          <w:b/>
          <w:bCs/>
        </w:rPr>
        <w:t>40</w:t>
      </w:r>
      <w:r w:rsidR="00000000">
        <w:rPr>
          <w:b/>
          <w:bCs/>
        </w:rPr>
        <w:t xml:space="preserve"> points):</w:t>
      </w:r>
      <w:r w:rsidR="00000000">
        <w:t xml:space="preserve"> </w:t>
      </w:r>
      <w:r>
        <w:t>The in-class exam will be used to assess your individual ability to apply course concepts to a pre-assigned environmental issue at more than a superficial level.</w:t>
      </w:r>
      <w:r w:rsidR="00000000">
        <w:br/>
      </w:r>
    </w:p>
    <w:p w14:paraId="71E6E7C1" w14:textId="77777777" w:rsidR="00786583" w:rsidRDefault="00000000">
      <w:pPr>
        <w:pStyle w:val="BodyText"/>
        <w:rPr>
          <w:b/>
          <w:bCs/>
        </w:rPr>
      </w:pPr>
      <w:r>
        <w:rPr>
          <w:b/>
          <w:bCs/>
        </w:rPr>
        <w:t>Office Hours</w:t>
      </w:r>
      <w:r>
        <w:br/>
        <w:t>My office hour policy will be determined by majority vote.</w:t>
      </w:r>
      <w:r>
        <w:br/>
      </w:r>
    </w:p>
    <w:p w14:paraId="29BCCF1B" w14:textId="24A1E550" w:rsidR="00DF32E1" w:rsidRDefault="00000000">
      <w:pPr>
        <w:pStyle w:val="BodyText"/>
      </w:pPr>
      <w:r>
        <w:rPr>
          <w:b/>
          <w:bCs/>
        </w:rPr>
        <w:t>Course Expectations</w:t>
      </w:r>
      <w:r>
        <w:br/>
      </w:r>
    </w:p>
    <w:p w14:paraId="4B620983" w14:textId="77777777" w:rsidR="00DF32E1" w:rsidRDefault="00000000">
      <w:pPr>
        <w:numPr>
          <w:ilvl w:val="0"/>
          <w:numId w:val="2"/>
        </w:numPr>
      </w:pPr>
      <w:r>
        <w:t>Take responsibility for your learning</w:t>
      </w:r>
    </w:p>
    <w:p w14:paraId="0B13C41B" w14:textId="77777777" w:rsidR="00DF32E1" w:rsidRDefault="00000000">
      <w:pPr>
        <w:numPr>
          <w:ilvl w:val="1"/>
          <w:numId w:val="3"/>
        </w:numPr>
      </w:pPr>
      <w:r>
        <w:t>Ask questions to understand the content</w:t>
      </w:r>
    </w:p>
    <w:p w14:paraId="1056E74D" w14:textId="77777777" w:rsidR="00DF32E1" w:rsidRDefault="00000000">
      <w:pPr>
        <w:numPr>
          <w:ilvl w:val="1"/>
          <w:numId w:val="3"/>
        </w:numPr>
      </w:pPr>
      <w:r>
        <w:t>Ask questions to evaluate the content</w:t>
      </w:r>
    </w:p>
    <w:p w14:paraId="70F41DE1" w14:textId="77777777" w:rsidR="00DF32E1" w:rsidRDefault="00000000">
      <w:pPr>
        <w:numPr>
          <w:ilvl w:val="0"/>
          <w:numId w:val="2"/>
        </w:numPr>
      </w:pPr>
      <w:r>
        <w:t>Create a space and community to support learning</w:t>
      </w:r>
    </w:p>
    <w:p w14:paraId="602B47AF" w14:textId="77777777" w:rsidR="00DF32E1" w:rsidRDefault="00000000">
      <w:pPr>
        <w:numPr>
          <w:ilvl w:val="1"/>
          <w:numId w:val="4"/>
        </w:numPr>
      </w:pPr>
      <w:r>
        <w:t>Realize it’s OK to be wrong</w:t>
      </w:r>
    </w:p>
    <w:p w14:paraId="7769E3A8" w14:textId="77777777" w:rsidR="00DF32E1" w:rsidRDefault="00000000">
      <w:pPr>
        <w:numPr>
          <w:ilvl w:val="1"/>
          <w:numId w:val="4"/>
        </w:numPr>
      </w:pPr>
      <w:r>
        <w:t>Being wrong is not a reflection of one’s fixed intelligence</w:t>
      </w:r>
      <w:r>
        <w:br/>
      </w:r>
    </w:p>
    <w:p w14:paraId="45ACF2E1" w14:textId="58DC9214" w:rsidR="00DF32E1" w:rsidRDefault="00000000" w:rsidP="00786583">
      <w:pPr>
        <w:pStyle w:val="BodyText"/>
      </w:pPr>
      <w:r>
        <w:rPr>
          <w:b/>
          <w:bCs/>
        </w:rPr>
        <w:t>Class Policies:</w:t>
      </w:r>
      <w:r>
        <w:br/>
      </w:r>
    </w:p>
    <w:p w14:paraId="56D5DF66" w14:textId="77777777" w:rsidR="00786583" w:rsidRDefault="00000000">
      <w:pPr>
        <w:pStyle w:val="BodyText"/>
        <w:rPr>
          <w:b/>
          <w:bCs/>
        </w:rPr>
      </w:pPr>
      <w:r>
        <w:rPr>
          <w:b/>
          <w:bCs/>
        </w:rPr>
        <w:t>Grading Policy:</w:t>
      </w:r>
      <w:r>
        <w:t xml:space="preserve"> All assignments will be graded on a curve.</w:t>
      </w:r>
      <w:r>
        <w:br/>
      </w:r>
    </w:p>
    <w:p w14:paraId="18C2D42E" w14:textId="77777777" w:rsidR="00786583" w:rsidRDefault="00000000">
      <w:pPr>
        <w:pStyle w:val="BodyText"/>
        <w:rPr>
          <w:b/>
          <w:bCs/>
        </w:rPr>
      </w:pPr>
      <w:r>
        <w:rPr>
          <w:b/>
          <w:bCs/>
        </w:rPr>
        <w:t>Extra Credit Policy:</w:t>
      </w:r>
      <w:r>
        <w:t xml:space="preserve"> There are no possibilities for extra credit.</w:t>
      </w:r>
      <w:r>
        <w:br/>
      </w:r>
    </w:p>
    <w:p w14:paraId="5118A2C0" w14:textId="77777777" w:rsidR="00786583" w:rsidRDefault="00000000">
      <w:pPr>
        <w:pStyle w:val="BodyText"/>
        <w:rPr>
          <w:b/>
          <w:bCs/>
        </w:rPr>
      </w:pPr>
      <w:r>
        <w:rPr>
          <w:b/>
          <w:bCs/>
        </w:rPr>
        <w:t>Late Policy:</w:t>
      </w:r>
      <w:r>
        <w:t xml:space="preserve"> Assignments are due by the time posted on Canvas. If an assignment is submitted </w:t>
      </w:r>
      <m:oMath>
        <m:r>
          <m:rPr>
            <m:sty m:val="p"/>
          </m:rPr>
          <w:rPr>
            <w:rFonts w:ascii="Cambria Math" w:hAnsi="Cambria Math"/>
          </w:rPr>
          <m:t>≤</m:t>
        </m:r>
      </m:oMath>
      <w:r>
        <w:t xml:space="preserve"> 72 hours late, the late assignments will receive a 10% reduction in points for </w:t>
      </w:r>
      <w:r>
        <w:lastRenderedPageBreak/>
        <w:t>each 24 hours the submission date exceeds the due date. After 72 hours the assignment cannot be submitted for credit.</w:t>
      </w:r>
      <w:r>
        <w:br/>
      </w:r>
    </w:p>
    <w:p w14:paraId="619F3E16" w14:textId="77777777" w:rsidR="00786583" w:rsidRDefault="00000000">
      <w:pPr>
        <w:pStyle w:val="BodyText"/>
        <w:rPr>
          <w:b/>
          <w:bCs/>
        </w:rPr>
      </w:pPr>
      <w:r>
        <w:rPr>
          <w:b/>
          <w:bCs/>
        </w:rPr>
        <w:t>Cell Phone Policy:</w:t>
      </w:r>
      <w:r>
        <w:t xml:space="preserve"> Cell phones should be turned off before class begins and must not be used in class at any time.</w:t>
      </w:r>
      <w:r>
        <w:br/>
      </w:r>
    </w:p>
    <w:p w14:paraId="4F2D725A" w14:textId="77777777" w:rsidR="00786583" w:rsidRDefault="00000000">
      <w:pPr>
        <w:pStyle w:val="BodyText"/>
        <w:rPr>
          <w:b/>
          <w:bCs/>
        </w:rPr>
      </w:pPr>
      <w:r>
        <w:rPr>
          <w:b/>
          <w:bCs/>
        </w:rPr>
        <w:t>Academic Integrity:</w:t>
      </w:r>
      <w:r>
        <w:t xml:space="preserve"> At the University level, passing anyone else’s scholarly work (which can include written material, exam answers, graphics or other images, and even ideas) as your own, without proper attribution, is considered academic misconduct. Plagiarism, cheating, and other misconduct are serious violations of the University of Washington Student Conduct Code (WAC 478-120). I expect that you will know and follow university policies on cheating and plagiarism. Any suspected cases of academic misconduct will be handled according to university regulations. For more information, see the College of the Environment’s Academic Misconduct Policy and the Community Standards and Student Conduct website.</w:t>
      </w:r>
      <w:r>
        <w:br/>
      </w:r>
    </w:p>
    <w:p w14:paraId="21EA7DF8" w14:textId="77777777" w:rsidR="00786583" w:rsidRDefault="00000000">
      <w:pPr>
        <w:pStyle w:val="BodyText"/>
        <w:rPr>
          <w:b/>
          <w:bCs/>
        </w:rPr>
      </w:pPr>
      <w:r>
        <w:rPr>
          <w:b/>
          <w:bCs/>
        </w:rPr>
        <w:t>Students with Disabilities:</w:t>
      </w:r>
      <w:r>
        <w:t xml:space="preserve"> To request academic accommodations due to a disability, contact Disability Resources for Students, 448 Schmitz, 206-543-8924 (V/TTY). If you have a letter from that office indicating that you have a disability which requires academic accommodations, present the letter to me so that we can discuss the accommodations needed for the class.</w:t>
      </w:r>
      <w:r>
        <w:br/>
      </w:r>
    </w:p>
    <w:p w14:paraId="16EE841F" w14:textId="1D88BDEA" w:rsidR="00DF32E1" w:rsidRDefault="00000000">
      <w:pPr>
        <w:pStyle w:val="BodyText"/>
      </w:pPr>
      <w:r>
        <w:rPr>
          <w:b/>
          <w:bCs/>
        </w:rPr>
        <w:t>Religious Accommodations:</w:t>
      </w:r>
      <w:r>
        <w:t xml:space="preserve"> 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Faculty Syllabus Guidelines and Resources. Accommodations must be requested within the first two weeks of this course using the Religious Accommodations Request form available at </w:t>
      </w:r>
      <w:hyperlink r:id="rId6">
        <w:r>
          <w:rPr>
            <w:rStyle w:val="Hyperlink"/>
          </w:rPr>
          <w:t>https://registrar.washington.edu/students/religious-accommodations-request/</w:t>
        </w:r>
      </w:hyperlink>
      <w:r>
        <w:t>.</w:t>
      </w:r>
    </w:p>
    <w:p w14:paraId="574F5FB1" w14:textId="77777777" w:rsidR="00DF32E1" w:rsidRDefault="00000000">
      <w:pPr>
        <w:pStyle w:val="BodyText"/>
      </w:pPr>
      <w:r>
        <w:rPr>
          <w:b/>
          <w:bCs/>
          <w:u w:val="single"/>
        </w:rPr>
        <w:t>Estimated</w:t>
      </w:r>
      <w:r>
        <w:rPr>
          <w:b/>
          <w:bCs/>
        </w:rPr>
        <w:t xml:space="preserve"> Schedule:</w:t>
      </w:r>
    </w:p>
    <w:p w14:paraId="5CDFA697" w14:textId="77777777" w:rsidR="00DF32E1" w:rsidRDefault="00000000">
      <w:pPr>
        <w:pStyle w:val="BodyText"/>
      </w:pPr>
      <w:r>
        <w:rPr>
          <w:b/>
          <w:bCs/>
        </w:rPr>
        <w:t>Reading List:</w:t>
      </w:r>
      <w:r>
        <w:br/>
      </w:r>
      <w:r>
        <w:rPr>
          <w:b/>
          <w:bCs/>
        </w:rPr>
        <w:t>Part 1. Fundamentals</w:t>
      </w:r>
    </w:p>
    <w:p w14:paraId="69C00F2D" w14:textId="77777777" w:rsidR="00786583" w:rsidRDefault="00000000">
      <w:pPr>
        <w:pStyle w:val="BodyText"/>
        <w:rPr>
          <w:b/>
          <w:bCs/>
        </w:rPr>
      </w:pPr>
      <w:r>
        <w:rPr>
          <w:i/>
          <w:iCs/>
        </w:rPr>
        <w:t>Suggested Readings</w:t>
      </w:r>
      <w:r>
        <w:br/>
        <w:t>F&amp;F ch. 3-4, Mankiw ch. 4 &amp; 7</w:t>
      </w:r>
      <w:r>
        <w:br/>
      </w:r>
      <w:r>
        <w:rPr>
          <w:i/>
          <w:iCs/>
        </w:rPr>
        <w:t>Required Readings</w:t>
      </w:r>
      <w:r>
        <w:br/>
        <w:t>Select pages from: Frank, R.H., 2012. The Darwin economy: Liberty, competition, and the common good. Princeton University Press.</w:t>
      </w:r>
      <w:r>
        <w:br/>
        <w:t>Chapter 1 from: Schelling, T.C., 2006. Micromotives and macrobehavior. WW Norton &amp; Company.</w:t>
      </w:r>
      <w:r>
        <w:br/>
      </w:r>
      <w:r>
        <w:lastRenderedPageBreak/>
        <w:t>Pages 23-29 from: Goulder, L. H., &amp; Kennedy, D. (1997). Valuing ecosystem services: philosophical bases and empirical methods (pp. 23-47). Island Press, Washington, DC.</w:t>
      </w:r>
      <w:r>
        <w:br/>
      </w:r>
    </w:p>
    <w:p w14:paraId="0B06D85C" w14:textId="3BEF6345" w:rsidR="00DF32E1" w:rsidRDefault="00000000">
      <w:pPr>
        <w:pStyle w:val="BodyText"/>
      </w:pPr>
      <w:r>
        <w:rPr>
          <w:b/>
          <w:bCs/>
        </w:rPr>
        <w:t>Part 2. Solutions to Externalities Problems</w:t>
      </w:r>
    </w:p>
    <w:p w14:paraId="627DAA1C" w14:textId="77777777" w:rsidR="00786583" w:rsidRDefault="00000000">
      <w:pPr>
        <w:pStyle w:val="BodyText"/>
        <w:rPr>
          <w:b/>
          <w:bCs/>
        </w:rPr>
      </w:pPr>
      <w:r>
        <w:rPr>
          <w:i/>
          <w:iCs/>
        </w:rPr>
        <w:t>Suggested Readings</w:t>
      </w:r>
      <w:r>
        <w:br/>
        <w:t>F&amp;F ch. 5 &amp; 10-13, Mankiw ch. 10</w:t>
      </w:r>
      <w:r>
        <w:br/>
      </w:r>
      <w:r>
        <w:rPr>
          <w:i/>
          <w:iCs/>
        </w:rPr>
        <w:t>Required Readings</w:t>
      </w:r>
      <w:r>
        <w:br/>
        <w:t xml:space="preserve">Coase, R. 1960. The Problem of Social Cost. </w:t>
      </w:r>
      <w:r>
        <w:rPr>
          <w:i/>
          <w:iCs/>
        </w:rPr>
        <w:t>The Journal of Law and Economics</w:t>
      </w:r>
      <w:r>
        <w:t xml:space="preserve"> 3: 1-44.</w:t>
      </w:r>
      <w:r>
        <w:br/>
        <w:t>Goulder, L.H. and Schein, A.R., 2013. Carbon taxes versus cap and trade: a critical review. Climate Change Economics, 4(03), p.1350010.</w:t>
      </w:r>
      <w:r>
        <w:br/>
        <w:t>Select pages from: Kolstad, C.D. 2010. Environmental Economics, Second Edition, Oxford University Press.</w:t>
      </w:r>
      <w:r>
        <w:br/>
        <w:t xml:space="preserve">Sandel, M.J., 1997. It’s immoral to buy the right to pollute. </w:t>
      </w:r>
      <w:r>
        <w:rPr>
          <w:i/>
          <w:iCs/>
        </w:rPr>
        <w:t>New York Times</w:t>
      </w:r>
      <w:r>
        <w:t>, 15, p. A29. &amp; replies to this article.</w:t>
      </w:r>
      <w:r>
        <w:br/>
        <w:t>Feldstein, M.S., Halstead, T. and Mankiw, N.G., 2017. A conservative case for climate action. The New York Times, 8.</w:t>
      </w:r>
      <w:r>
        <w:br/>
      </w:r>
    </w:p>
    <w:p w14:paraId="20A6EB4F" w14:textId="08132BA2" w:rsidR="00DF32E1" w:rsidRDefault="00000000">
      <w:pPr>
        <w:pStyle w:val="BodyText"/>
      </w:pPr>
      <w:r>
        <w:rPr>
          <w:b/>
          <w:bCs/>
        </w:rPr>
        <w:t>Part 3. Solutions to Public Goods Problems</w:t>
      </w:r>
    </w:p>
    <w:p w14:paraId="6BED9B55" w14:textId="77777777" w:rsidR="00786583" w:rsidRDefault="00000000">
      <w:pPr>
        <w:pStyle w:val="BodyText"/>
        <w:rPr>
          <w:b/>
          <w:bCs/>
        </w:rPr>
      </w:pPr>
      <w:r>
        <w:rPr>
          <w:i/>
          <w:iCs/>
        </w:rPr>
        <w:t>Suggested Readings</w:t>
      </w:r>
      <w:r>
        <w:br/>
        <w:t>F&amp;F ch. 4, pages 73-76.</w:t>
      </w:r>
      <w:r>
        <w:br/>
        <w:t>Mankiw ch. 11</w:t>
      </w:r>
      <w:r>
        <w:br/>
      </w:r>
      <w:r>
        <w:rPr>
          <w:i/>
          <w:iCs/>
        </w:rPr>
        <w:t>Required Readings</w:t>
      </w:r>
      <w:r>
        <w:br/>
        <w:t xml:space="preserve">Grant, L. and Langpap, C., 2018. Private provision of public goods by environmental groups. </w:t>
      </w:r>
      <w:r>
        <w:rPr>
          <w:i/>
          <w:iCs/>
        </w:rPr>
        <w:t>Proceedings of the National Academy of Sciences</w:t>
      </w:r>
      <w:r>
        <w:t>.</w:t>
      </w:r>
      <w:r>
        <w:br/>
      </w:r>
    </w:p>
    <w:p w14:paraId="3E9DFDC8" w14:textId="09F3E039" w:rsidR="00DF32E1" w:rsidRDefault="00000000">
      <w:pPr>
        <w:pStyle w:val="BodyText"/>
      </w:pPr>
      <w:r>
        <w:rPr>
          <w:b/>
          <w:bCs/>
        </w:rPr>
        <w:t>Part 5. Valuation</w:t>
      </w:r>
    </w:p>
    <w:p w14:paraId="12CBBAEF" w14:textId="77777777" w:rsidR="00786583" w:rsidRDefault="00000000">
      <w:pPr>
        <w:pStyle w:val="BodyText"/>
        <w:rPr>
          <w:b/>
          <w:bCs/>
        </w:rPr>
      </w:pPr>
      <w:r>
        <w:rPr>
          <w:i/>
          <w:iCs/>
        </w:rPr>
        <w:t>Suggested Readings</w:t>
      </w:r>
      <w:r>
        <w:br/>
        <w:t>F&amp;F ch. 7, pages 137-152</w:t>
      </w:r>
      <w:r>
        <w:br/>
      </w:r>
      <w:r>
        <w:rPr>
          <w:i/>
          <w:iCs/>
        </w:rPr>
        <w:t>Required Readings</w:t>
      </w:r>
      <w:r>
        <w:br/>
        <w:t>Pages 30-47 from: Goulder, L. H., &amp; Kennedy, D. (1997). Valuing ecosystem services: philosophical bases and empirical methods (pp. 23-47). Island Press, Washington, DC.</w:t>
      </w:r>
      <w:r>
        <w:br/>
        <w:t xml:space="preserve">Portney, P.R., 1994. The contingent valuation debate: why economists should care. </w:t>
      </w:r>
      <w:r>
        <w:rPr>
          <w:i/>
          <w:iCs/>
        </w:rPr>
        <w:t>The Journal of Economic Perspectives</w:t>
      </w:r>
      <w:r>
        <w:t>, 8(4), pp.3-17.</w:t>
      </w:r>
      <w:r>
        <w:br/>
        <w:t xml:space="preserve">Costanza, R., d’Arge, R., De Groot, R., Farber, S., Grasso, M., Hannon, B., ... &amp; Van den Belt, M. (1997). The value of the world’s ecosystem services and natural capital. </w:t>
      </w:r>
      <w:r>
        <w:rPr>
          <w:i/>
          <w:iCs/>
        </w:rPr>
        <w:t>Nature</w:t>
      </w:r>
      <w:r>
        <w:t>, 387(6630), 253-260.</w:t>
      </w:r>
      <w:r>
        <w:br/>
        <w:t xml:space="preserve">Toman, M. (1998). Special section: Forum on valuation of ecosystem services: Why not to calculate the value of the world’s ecosystem services and natural capital. </w:t>
      </w:r>
      <w:r>
        <w:rPr>
          <w:i/>
          <w:iCs/>
        </w:rPr>
        <w:t>Ecological Economics</w:t>
      </w:r>
      <w:r>
        <w:t>, 25(1), 57-60.</w:t>
      </w:r>
      <w:r>
        <w:br/>
      </w:r>
    </w:p>
    <w:p w14:paraId="4E1DB174" w14:textId="156D07AA" w:rsidR="00DF32E1" w:rsidRDefault="00000000">
      <w:pPr>
        <w:pStyle w:val="BodyText"/>
      </w:pPr>
      <w:r>
        <w:rPr>
          <w:b/>
          <w:bCs/>
        </w:rPr>
        <w:lastRenderedPageBreak/>
        <w:t>Part 4. Cost Benefit Analysis</w:t>
      </w:r>
    </w:p>
    <w:p w14:paraId="642D9A23" w14:textId="77777777" w:rsidR="00DF32E1" w:rsidRDefault="00000000">
      <w:pPr>
        <w:pStyle w:val="BodyText"/>
      </w:pPr>
      <w:r>
        <w:rPr>
          <w:i/>
          <w:iCs/>
        </w:rPr>
        <w:t>Suggested Readings</w:t>
      </w:r>
      <w:r>
        <w:br/>
        <w:t>F&amp;F ch. 6-8</w:t>
      </w:r>
      <w:r>
        <w:br/>
      </w:r>
      <w:r>
        <w:rPr>
          <w:i/>
          <w:iCs/>
        </w:rPr>
        <w:t>Required Readings</w:t>
      </w:r>
      <w:r>
        <w:br/>
        <w:t xml:space="preserve">Kelman, S. (1981). Cost-benefit analysis: an ethical critique. </w:t>
      </w:r>
      <w:r>
        <w:rPr>
          <w:i/>
          <w:iCs/>
        </w:rPr>
        <w:t>Regulation</w:t>
      </w:r>
      <w:r>
        <w:t>, 5, 33. &amp; replies to this article.</w:t>
      </w:r>
    </w:p>
    <w:sectPr w:rsidR="00DF32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2D68F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A3076B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7930A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75420585">
    <w:abstractNumId w:val="0"/>
  </w:num>
  <w:num w:numId="2" w16cid:durableId="694186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062663">
    <w:abstractNumId w:val="1"/>
  </w:num>
  <w:num w:numId="4" w16cid:durableId="257449728">
    <w:abstractNumId w:val="1"/>
  </w:num>
  <w:num w:numId="5" w16cid:durableId="543753315">
    <w:abstractNumId w:val="1"/>
  </w:num>
  <w:num w:numId="6" w16cid:durableId="203792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DF32E1"/>
    <w:rsid w:val="00786583"/>
    <w:rsid w:val="009A38A2"/>
    <w:rsid w:val="00DF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5EC81E"/>
  <w15:docId w15:val="{7E0DF063-07A5-4C45-8A8D-523E2C11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washington.edu/students/religious-accommodations-request/" TargetMode="External"/><Relationship Id="rId5" Type="http://schemas.openxmlformats.org/officeDocument/2006/relationships/hyperlink" Target="https://www.washington.edu/students/gencat/front/Grading_Sy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SMEA 536 Applied Microeconomics for Marine Affairs</dc:title>
  <dc:creator/>
  <cp:keywords/>
  <cp:lastModifiedBy>Sunny L Jardine</cp:lastModifiedBy>
  <cp:revision>2</cp:revision>
  <dcterms:created xsi:type="dcterms:W3CDTF">2026-04-03T18:32:00Z</dcterms:created>
  <dcterms:modified xsi:type="dcterms:W3CDTF">2026-04-03T18:37:00Z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